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0F2" w:rsidRDefault="003A60F2"/>
    <w:p w:rsidR="003A60F2" w:rsidRDefault="003A60F2"/>
    <w:p w:rsidR="003A60F2" w:rsidRDefault="003A60F2"/>
    <w:p w:rsidR="003A60F2" w:rsidRDefault="003A60F2"/>
    <w:p w:rsidR="003A60F2" w:rsidRDefault="008D71C3">
      <w:pPr>
        <w:pStyle w:val="Heading1"/>
      </w:pPr>
      <w:bookmarkStart w:id="0" w:name="_heading=h.gjdgxs" w:colFirst="0" w:colLast="0"/>
      <w:bookmarkEnd w:id="0"/>
      <w:proofErr w:type="spellStart"/>
      <w:r>
        <w:t>Torbay</w:t>
      </w:r>
      <w:proofErr w:type="spellEnd"/>
      <w:r>
        <w:t xml:space="preserve"> PSHE Unit of Learning Curriculum</w:t>
      </w:r>
    </w:p>
    <w:p w:rsidR="003A60F2" w:rsidRDefault="008D71C3">
      <w:r>
        <w:t>This follows a spiral curriculum approach which enables children to revisit and deepen their understanding. These are suggested units of learning and should be adapted to reflect the local context of each school and can be reordered to reflect each school’s individual curriculum. These lessons can also be taught through discrete weekly lessons.</w:t>
      </w:r>
    </w:p>
    <w:p w:rsidR="003A60F2" w:rsidRDefault="008D71C3">
      <w:pPr>
        <w:rPr>
          <w:rFonts w:ascii="Arial Rounded" w:eastAsia="Arial Rounded" w:hAnsi="Arial Rounded" w:cs="Arial Rounded"/>
          <w:color w:val="AB007C"/>
          <w:sz w:val="28"/>
          <w:szCs w:val="28"/>
        </w:rPr>
      </w:pPr>
      <w:r>
        <w:rPr>
          <w:rFonts w:ascii="Arial Rounded" w:eastAsia="Arial Rounded" w:hAnsi="Arial Rounded" w:cs="Arial Rounded"/>
          <w:color w:val="AB007C"/>
          <w:sz w:val="28"/>
          <w:szCs w:val="28"/>
        </w:rPr>
        <w:t xml:space="preserve">Years One, Three and Five </w:t>
      </w:r>
    </w:p>
    <w:tbl>
      <w:tblPr>
        <w:tblStyle w:val="a"/>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570"/>
        <w:gridCol w:w="1570"/>
        <w:gridCol w:w="1373"/>
        <w:gridCol w:w="1640"/>
        <w:gridCol w:w="1570"/>
        <w:gridCol w:w="1233"/>
      </w:tblGrid>
      <w:tr w:rsidR="003A60F2">
        <w:trPr>
          <w:jc w:val="center"/>
        </w:trPr>
        <w:tc>
          <w:tcPr>
            <w:tcW w:w="1500" w:type="dxa"/>
          </w:tcPr>
          <w:p w:rsidR="003A60F2" w:rsidRDefault="003A60F2">
            <w:pPr>
              <w:rPr>
                <w:u w:val="single"/>
              </w:rPr>
            </w:pPr>
          </w:p>
        </w:tc>
        <w:tc>
          <w:tcPr>
            <w:tcW w:w="1570" w:type="dxa"/>
          </w:tcPr>
          <w:p w:rsidR="003A60F2" w:rsidRDefault="008D71C3">
            <w:pPr>
              <w:rPr>
                <w:u w:val="single"/>
              </w:rPr>
            </w:pPr>
            <w:r>
              <w:rPr>
                <w:u w:val="single"/>
              </w:rPr>
              <w:t>Unit One</w:t>
            </w:r>
          </w:p>
        </w:tc>
        <w:tc>
          <w:tcPr>
            <w:tcW w:w="1570" w:type="dxa"/>
          </w:tcPr>
          <w:p w:rsidR="003A60F2" w:rsidRDefault="008D71C3">
            <w:pPr>
              <w:rPr>
                <w:u w:val="single"/>
              </w:rPr>
            </w:pPr>
            <w:r>
              <w:rPr>
                <w:u w:val="single"/>
              </w:rPr>
              <w:t>Unit Two</w:t>
            </w:r>
          </w:p>
        </w:tc>
        <w:tc>
          <w:tcPr>
            <w:tcW w:w="1373" w:type="dxa"/>
          </w:tcPr>
          <w:p w:rsidR="003A60F2" w:rsidRDefault="008D71C3">
            <w:pPr>
              <w:rPr>
                <w:u w:val="single"/>
              </w:rPr>
            </w:pPr>
            <w:r>
              <w:rPr>
                <w:u w:val="single"/>
              </w:rPr>
              <w:t>Unit Three</w:t>
            </w:r>
          </w:p>
        </w:tc>
        <w:tc>
          <w:tcPr>
            <w:tcW w:w="1640" w:type="dxa"/>
          </w:tcPr>
          <w:p w:rsidR="003A60F2" w:rsidRDefault="008D71C3">
            <w:pPr>
              <w:rPr>
                <w:u w:val="single"/>
              </w:rPr>
            </w:pPr>
            <w:r>
              <w:rPr>
                <w:u w:val="single"/>
              </w:rPr>
              <w:t>Unit Four</w:t>
            </w:r>
          </w:p>
        </w:tc>
        <w:tc>
          <w:tcPr>
            <w:tcW w:w="1570" w:type="dxa"/>
          </w:tcPr>
          <w:p w:rsidR="003A60F2" w:rsidRDefault="008D71C3">
            <w:pPr>
              <w:rPr>
                <w:u w:val="single"/>
              </w:rPr>
            </w:pPr>
            <w:r>
              <w:rPr>
                <w:u w:val="single"/>
              </w:rPr>
              <w:t>Unit Five</w:t>
            </w:r>
          </w:p>
        </w:tc>
        <w:tc>
          <w:tcPr>
            <w:tcW w:w="1233" w:type="dxa"/>
          </w:tcPr>
          <w:p w:rsidR="003A60F2" w:rsidRDefault="008D71C3">
            <w:pPr>
              <w:rPr>
                <w:u w:val="single"/>
              </w:rPr>
            </w:pPr>
            <w:r>
              <w:rPr>
                <w:u w:val="single"/>
              </w:rPr>
              <w:t>Unit Six</w:t>
            </w:r>
          </w:p>
        </w:tc>
      </w:tr>
      <w:tr w:rsidR="003A60F2">
        <w:trPr>
          <w:jc w:val="center"/>
        </w:trPr>
        <w:tc>
          <w:tcPr>
            <w:tcW w:w="1500" w:type="dxa"/>
          </w:tcPr>
          <w:p w:rsidR="003A60F2" w:rsidRDefault="008D71C3">
            <w:pPr>
              <w:rPr>
                <w:u w:val="single"/>
              </w:rPr>
            </w:pPr>
            <w:r>
              <w:rPr>
                <w:u w:val="single"/>
              </w:rPr>
              <w:t>PSHE Unit of Learning</w:t>
            </w:r>
          </w:p>
        </w:tc>
        <w:tc>
          <w:tcPr>
            <w:tcW w:w="1570" w:type="dxa"/>
          </w:tcPr>
          <w:p w:rsidR="003A60F2" w:rsidRDefault="008D71C3">
            <w:r>
              <w:t>Happiness, Positivity and Feeling Special</w:t>
            </w:r>
          </w:p>
        </w:tc>
        <w:tc>
          <w:tcPr>
            <w:tcW w:w="1570" w:type="dxa"/>
          </w:tcPr>
          <w:p w:rsidR="003A60F2" w:rsidRDefault="008D71C3">
            <w:r>
              <w:t>Emotions, Feelings and Friends</w:t>
            </w:r>
          </w:p>
          <w:p w:rsidR="003A60F2" w:rsidRDefault="003A60F2"/>
        </w:tc>
        <w:tc>
          <w:tcPr>
            <w:tcW w:w="1373" w:type="dxa"/>
          </w:tcPr>
          <w:p w:rsidR="003A60F2" w:rsidRDefault="008D71C3">
            <w:r>
              <w:t>Choices, Decisions and Democracy</w:t>
            </w:r>
          </w:p>
        </w:tc>
        <w:tc>
          <w:tcPr>
            <w:tcW w:w="1640" w:type="dxa"/>
          </w:tcPr>
          <w:p w:rsidR="003A60F2" w:rsidRDefault="008D71C3">
            <w:r>
              <w:t>Individuality, Independence and Assertiveness</w:t>
            </w:r>
          </w:p>
        </w:tc>
        <w:tc>
          <w:tcPr>
            <w:tcW w:w="1570" w:type="dxa"/>
          </w:tcPr>
          <w:p w:rsidR="003A60F2" w:rsidRDefault="008D71C3">
            <w:r>
              <w:t>Being Safe and Asking for Help</w:t>
            </w:r>
          </w:p>
          <w:p w:rsidR="003A60F2" w:rsidRDefault="003A60F2"/>
        </w:tc>
        <w:tc>
          <w:tcPr>
            <w:tcW w:w="1233" w:type="dxa"/>
          </w:tcPr>
          <w:p w:rsidR="003A60F2" w:rsidRDefault="008D71C3">
            <w:r>
              <w:t>Growing Up, Staying Healthy and Making Ambitions</w:t>
            </w:r>
          </w:p>
        </w:tc>
      </w:tr>
      <w:tr w:rsidR="003A60F2">
        <w:trPr>
          <w:jc w:val="center"/>
        </w:trPr>
        <w:tc>
          <w:tcPr>
            <w:tcW w:w="1500" w:type="dxa"/>
          </w:tcPr>
          <w:p w:rsidR="003A60F2" w:rsidRDefault="008D71C3">
            <w:pPr>
              <w:rPr>
                <w:u w:val="single"/>
              </w:rPr>
            </w:pPr>
            <w:r>
              <w:rPr>
                <w:u w:val="single"/>
              </w:rPr>
              <w:t>PSHE Association Key Theme</w:t>
            </w:r>
          </w:p>
        </w:tc>
        <w:tc>
          <w:tcPr>
            <w:tcW w:w="1570" w:type="dxa"/>
          </w:tcPr>
          <w:p w:rsidR="003A60F2" w:rsidRDefault="008D71C3">
            <w:r>
              <w:t>Relationships</w:t>
            </w:r>
          </w:p>
        </w:tc>
        <w:tc>
          <w:tcPr>
            <w:tcW w:w="1570" w:type="dxa"/>
          </w:tcPr>
          <w:p w:rsidR="003A60F2" w:rsidRDefault="008D71C3">
            <w:r>
              <w:t>Relationships</w:t>
            </w:r>
          </w:p>
        </w:tc>
        <w:tc>
          <w:tcPr>
            <w:tcW w:w="1373" w:type="dxa"/>
          </w:tcPr>
          <w:p w:rsidR="003A60F2" w:rsidRDefault="008D71C3">
            <w:r>
              <w:t>Living in the Wider World</w:t>
            </w:r>
          </w:p>
        </w:tc>
        <w:tc>
          <w:tcPr>
            <w:tcW w:w="1640" w:type="dxa"/>
          </w:tcPr>
          <w:p w:rsidR="003A60F2" w:rsidRDefault="008D71C3">
            <w:r>
              <w:t>Health and Well-Being</w:t>
            </w:r>
          </w:p>
        </w:tc>
        <w:tc>
          <w:tcPr>
            <w:tcW w:w="1570" w:type="dxa"/>
          </w:tcPr>
          <w:p w:rsidR="003A60F2" w:rsidRDefault="008D71C3">
            <w:r>
              <w:t>Relationships</w:t>
            </w:r>
          </w:p>
        </w:tc>
        <w:tc>
          <w:tcPr>
            <w:tcW w:w="1233" w:type="dxa"/>
          </w:tcPr>
          <w:p w:rsidR="003A60F2" w:rsidRDefault="008D71C3">
            <w:r>
              <w:t>Health and Well-Being</w:t>
            </w:r>
          </w:p>
        </w:tc>
      </w:tr>
    </w:tbl>
    <w:p w:rsidR="003A60F2" w:rsidRDefault="003A60F2">
      <w:pPr>
        <w:rPr>
          <w:rFonts w:ascii="Arial Rounded" w:eastAsia="Arial Rounded" w:hAnsi="Arial Rounded" w:cs="Arial Rounded"/>
          <w:color w:val="AB007C"/>
          <w:sz w:val="28"/>
          <w:szCs w:val="28"/>
        </w:rPr>
      </w:pPr>
    </w:p>
    <w:p w:rsidR="003A60F2" w:rsidRDefault="008D71C3">
      <w:pPr>
        <w:rPr>
          <w:rFonts w:ascii="Arial Rounded" w:eastAsia="Arial Rounded" w:hAnsi="Arial Rounded" w:cs="Arial Rounded"/>
          <w:color w:val="AB007C"/>
          <w:sz w:val="28"/>
          <w:szCs w:val="28"/>
        </w:rPr>
      </w:pPr>
      <w:r>
        <w:rPr>
          <w:rFonts w:ascii="Arial Rounded" w:eastAsia="Arial Rounded" w:hAnsi="Arial Rounded" w:cs="Arial Rounded"/>
          <w:color w:val="AB007C"/>
          <w:sz w:val="28"/>
          <w:szCs w:val="28"/>
        </w:rPr>
        <w:t>Years Two, Four and Six</w:t>
      </w:r>
    </w:p>
    <w:tbl>
      <w:tblPr>
        <w:tblStyle w:val="a0"/>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1673"/>
        <w:gridCol w:w="1529"/>
        <w:gridCol w:w="1313"/>
        <w:gridCol w:w="1241"/>
        <w:gridCol w:w="1642"/>
        <w:gridCol w:w="1478"/>
      </w:tblGrid>
      <w:tr w:rsidR="003A60F2">
        <w:trPr>
          <w:jc w:val="center"/>
        </w:trPr>
        <w:tc>
          <w:tcPr>
            <w:tcW w:w="1580" w:type="dxa"/>
          </w:tcPr>
          <w:p w:rsidR="003A60F2" w:rsidRDefault="003A60F2">
            <w:pPr>
              <w:rPr>
                <w:u w:val="single"/>
              </w:rPr>
            </w:pPr>
          </w:p>
        </w:tc>
        <w:tc>
          <w:tcPr>
            <w:tcW w:w="1673" w:type="dxa"/>
          </w:tcPr>
          <w:p w:rsidR="003A60F2" w:rsidRDefault="008D71C3">
            <w:pPr>
              <w:rPr>
                <w:u w:val="single"/>
              </w:rPr>
            </w:pPr>
            <w:r>
              <w:rPr>
                <w:u w:val="single"/>
              </w:rPr>
              <w:t>Unit One</w:t>
            </w:r>
          </w:p>
        </w:tc>
        <w:tc>
          <w:tcPr>
            <w:tcW w:w="1529" w:type="dxa"/>
          </w:tcPr>
          <w:p w:rsidR="003A60F2" w:rsidRDefault="008D71C3">
            <w:pPr>
              <w:rPr>
                <w:u w:val="single"/>
              </w:rPr>
            </w:pPr>
            <w:r>
              <w:rPr>
                <w:u w:val="single"/>
              </w:rPr>
              <w:t>Unit Two</w:t>
            </w:r>
          </w:p>
        </w:tc>
        <w:tc>
          <w:tcPr>
            <w:tcW w:w="1313" w:type="dxa"/>
          </w:tcPr>
          <w:p w:rsidR="003A60F2" w:rsidRDefault="008D71C3">
            <w:pPr>
              <w:rPr>
                <w:u w:val="single"/>
              </w:rPr>
            </w:pPr>
            <w:r>
              <w:rPr>
                <w:u w:val="single"/>
              </w:rPr>
              <w:t>Unit Three</w:t>
            </w:r>
          </w:p>
        </w:tc>
        <w:tc>
          <w:tcPr>
            <w:tcW w:w="1241" w:type="dxa"/>
          </w:tcPr>
          <w:p w:rsidR="003A60F2" w:rsidRDefault="008D71C3">
            <w:pPr>
              <w:rPr>
                <w:u w:val="single"/>
              </w:rPr>
            </w:pPr>
            <w:r>
              <w:rPr>
                <w:u w:val="single"/>
              </w:rPr>
              <w:t>Unit Four</w:t>
            </w:r>
          </w:p>
        </w:tc>
        <w:tc>
          <w:tcPr>
            <w:tcW w:w="1642" w:type="dxa"/>
          </w:tcPr>
          <w:p w:rsidR="003A60F2" w:rsidRDefault="008D71C3">
            <w:pPr>
              <w:rPr>
                <w:u w:val="single"/>
              </w:rPr>
            </w:pPr>
            <w:r>
              <w:rPr>
                <w:u w:val="single"/>
              </w:rPr>
              <w:t>Unit Five</w:t>
            </w:r>
          </w:p>
        </w:tc>
        <w:tc>
          <w:tcPr>
            <w:tcW w:w="1478" w:type="dxa"/>
          </w:tcPr>
          <w:p w:rsidR="003A60F2" w:rsidRDefault="008D71C3">
            <w:pPr>
              <w:rPr>
                <w:u w:val="single"/>
              </w:rPr>
            </w:pPr>
            <w:r>
              <w:rPr>
                <w:u w:val="single"/>
              </w:rPr>
              <w:t>Unit Six</w:t>
            </w:r>
          </w:p>
        </w:tc>
      </w:tr>
      <w:tr w:rsidR="003A60F2">
        <w:trPr>
          <w:jc w:val="center"/>
        </w:trPr>
        <w:tc>
          <w:tcPr>
            <w:tcW w:w="1580" w:type="dxa"/>
          </w:tcPr>
          <w:p w:rsidR="003A60F2" w:rsidRDefault="008D71C3">
            <w:pPr>
              <w:rPr>
                <w:u w:val="single"/>
              </w:rPr>
            </w:pPr>
            <w:r>
              <w:rPr>
                <w:u w:val="single"/>
              </w:rPr>
              <w:t>PSHE Unit of Learning</w:t>
            </w:r>
          </w:p>
        </w:tc>
        <w:tc>
          <w:tcPr>
            <w:tcW w:w="1673" w:type="dxa"/>
          </w:tcPr>
          <w:p w:rsidR="003A60F2" w:rsidRDefault="008D71C3">
            <w:r>
              <w:t>Citizenship, Responsibility and Leadership</w:t>
            </w:r>
          </w:p>
        </w:tc>
        <w:tc>
          <w:tcPr>
            <w:tcW w:w="1529" w:type="dxa"/>
          </w:tcPr>
          <w:p w:rsidR="003A60F2" w:rsidRDefault="008D71C3">
            <w:r>
              <w:t>Following the Law, Staying Safe and Overcoming Peer Pressure</w:t>
            </w:r>
          </w:p>
        </w:tc>
        <w:tc>
          <w:tcPr>
            <w:tcW w:w="1313" w:type="dxa"/>
          </w:tcPr>
          <w:p w:rsidR="003A60F2" w:rsidRDefault="008D71C3">
            <w:r>
              <w:t>Earning, Saving and Spending</w:t>
            </w:r>
          </w:p>
        </w:tc>
        <w:tc>
          <w:tcPr>
            <w:tcW w:w="1241" w:type="dxa"/>
          </w:tcPr>
          <w:p w:rsidR="003A60F2" w:rsidRDefault="008D71C3">
            <w:r>
              <w:t>Trade, Food Growing and Fairness</w:t>
            </w:r>
          </w:p>
        </w:tc>
        <w:tc>
          <w:tcPr>
            <w:tcW w:w="1642" w:type="dxa"/>
          </w:tcPr>
          <w:p w:rsidR="003A60F2" w:rsidRDefault="008D71C3">
            <w:r>
              <w:t>Families, Friendships and Relationships</w:t>
            </w:r>
          </w:p>
        </w:tc>
        <w:tc>
          <w:tcPr>
            <w:tcW w:w="1478" w:type="dxa"/>
          </w:tcPr>
          <w:p w:rsidR="003A60F2" w:rsidRDefault="008D71C3">
            <w:r>
              <w:t>Changes, Transitions and Maintaining Positivity</w:t>
            </w:r>
          </w:p>
        </w:tc>
      </w:tr>
      <w:tr w:rsidR="003A60F2">
        <w:trPr>
          <w:jc w:val="center"/>
        </w:trPr>
        <w:tc>
          <w:tcPr>
            <w:tcW w:w="1580" w:type="dxa"/>
          </w:tcPr>
          <w:p w:rsidR="003A60F2" w:rsidRDefault="008D71C3">
            <w:pPr>
              <w:rPr>
                <w:u w:val="single"/>
              </w:rPr>
            </w:pPr>
            <w:r>
              <w:rPr>
                <w:u w:val="single"/>
              </w:rPr>
              <w:t>PSHE Association Key Theme</w:t>
            </w:r>
          </w:p>
        </w:tc>
        <w:tc>
          <w:tcPr>
            <w:tcW w:w="1673" w:type="dxa"/>
          </w:tcPr>
          <w:p w:rsidR="003A60F2" w:rsidRDefault="008D71C3">
            <w:r>
              <w:t>Living in the Wider World</w:t>
            </w:r>
          </w:p>
        </w:tc>
        <w:tc>
          <w:tcPr>
            <w:tcW w:w="1529" w:type="dxa"/>
          </w:tcPr>
          <w:p w:rsidR="003A60F2" w:rsidRDefault="008D71C3">
            <w:r>
              <w:t>Health and Well-Being</w:t>
            </w:r>
          </w:p>
        </w:tc>
        <w:tc>
          <w:tcPr>
            <w:tcW w:w="1313" w:type="dxa"/>
          </w:tcPr>
          <w:p w:rsidR="003A60F2" w:rsidRDefault="008D71C3">
            <w:r>
              <w:t>Living in the Wider World</w:t>
            </w:r>
          </w:p>
        </w:tc>
        <w:tc>
          <w:tcPr>
            <w:tcW w:w="1241" w:type="dxa"/>
          </w:tcPr>
          <w:p w:rsidR="003A60F2" w:rsidRDefault="008D71C3">
            <w:r>
              <w:t>Living in the Wider World</w:t>
            </w:r>
          </w:p>
        </w:tc>
        <w:tc>
          <w:tcPr>
            <w:tcW w:w="1642" w:type="dxa"/>
          </w:tcPr>
          <w:p w:rsidR="003A60F2" w:rsidRDefault="008D71C3">
            <w:r>
              <w:t>Relationships</w:t>
            </w:r>
          </w:p>
        </w:tc>
        <w:tc>
          <w:tcPr>
            <w:tcW w:w="1478" w:type="dxa"/>
          </w:tcPr>
          <w:p w:rsidR="003A60F2" w:rsidRDefault="008D71C3">
            <w:r>
              <w:t>Health and Well-Being</w:t>
            </w:r>
          </w:p>
        </w:tc>
      </w:tr>
    </w:tbl>
    <w:p w:rsidR="003A60F2" w:rsidRDefault="003A60F2">
      <w:pPr>
        <w:rPr>
          <w:i/>
        </w:rPr>
      </w:pPr>
    </w:p>
    <w:p w:rsidR="003A60F2" w:rsidRDefault="008D71C3">
      <w:pPr>
        <w:rPr>
          <w:i/>
        </w:rPr>
      </w:pPr>
      <w:r>
        <w:rPr>
          <w:i/>
        </w:rPr>
        <w:t>These suggested units of learning meet the statutory and non-statutory guidance for Key Stage One and Key Stage Two provided by the DfE; it is recommended the Christopher Winter Project for RS</w:t>
      </w:r>
      <w:r w:rsidR="00343793">
        <w:rPr>
          <w:i/>
        </w:rPr>
        <w:t>H</w:t>
      </w:r>
      <w:r>
        <w:rPr>
          <w:i/>
        </w:rPr>
        <w:t xml:space="preserve">E is used alongside this to securely meet the statutory requirements for Relationships </w:t>
      </w:r>
      <w:r w:rsidR="00EA2955">
        <w:rPr>
          <w:i/>
        </w:rPr>
        <w:t xml:space="preserve">and Health </w:t>
      </w:r>
      <w:bookmarkStart w:id="1" w:name="_GoBack"/>
      <w:bookmarkEnd w:id="1"/>
      <w:r>
        <w:rPr>
          <w:i/>
        </w:rPr>
        <w:t>Education</w:t>
      </w:r>
      <w:r w:rsidR="00343793">
        <w:rPr>
          <w:i/>
        </w:rPr>
        <w:t>, alongside wider school opportunities</w:t>
      </w:r>
      <w:r>
        <w:rPr>
          <w:i/>
        </w:rPr>
        <w:t>.</w:t>
      </w:r>
    </w:p>
    <w:p w:rsidR="003A60F2" w:rsidRDefault="003A60F2">
      <w:pPr>
        <w:rPr>
          <w:i/>
        </w:rPr>
      </w:pPr>
    </w:p>
    <w:p w:rsidR="003A60F2" w:rsidRDefault="003A60F2">
      <w:pPr>
        <w:rPr>
          <w:i/>
        </w:rPr>
      </w:pPr>
    </w:p>
    <w:p w:rsidR="003A60F2" w:rsidRDefault="003A60F2">
      <w:pPr>
        <w:rPr>
          <w:i/>
        </w:rPr>
      </w:pPr>
    </w:p>
    <w:p w:rsidR="003A60F2" w:rsidRDefault="007673BD">
      <w:pPr>
        <w:pBdr>
          <w:top w:val="nil"/>
          <w:left w:val="nil"/>
          <w:bottom w:val="nil"/>
          <w:right w:val="nil"/>
          <w:between w:val="nil"/>
        </w:pBdr>
        <w:tabs>
          <w:tab w:val="right" w:pos="15388"/>
        </w:tabs>
        <w:spacing w:after="100"/>
        <w:rPr>
          <w:rFonts w:ascii="Arial" w:hAnsi="Arial"/>
          <w:color w:val="000000"/>
        </w:rPr>
      </w:pPr>
      <w:hyperlink w:anchor="_heading=h.gjdgxs">
        <w:proofErr w:type="spellStart"/>
        <w:r w:rsidR="008D71C3">
          <w:rPr>
            <w:rFonts w:ascii="Arial" w:hAnsi="Arial"/>
            <w:color w:val="000000"/>
          </w:rPr>
          <w:t>Torbay</w:t>
        </w:r>
        <w:proofErr w:type="spellEnd"/>
        <w:r w:rsidR="008D71C3">
          <w:rPr>
            <w:rFonts w:ascii="Arial" w:hAnsi="Arial"/>
            <w:color w:val="000000"/>
          </w:rPr>
          <w:t xml:space="preserve"> PSHE Unit of Learning Curriculum</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1fob9te">
        <w:r w:rsidR="008D71C3">
          <w:rPr>
            <w:rFonts w:ascii="Arial" w:hAnsi="Arial"/>
            <w:color w:val="000000"/>
          </w:rPr>
          <w:t>Unit of Learning: Happiness, Positivity and Feeling Special   PSHE Association Theme: Relationships  Year Group: 1/3/5</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3znysh7">
        <w:r w:rsidR="008D71C3">
          <w:rPr>
            <w:rFonts w:ascii="Arial" w:hAnsi="Arial"/>
            <w:color w:val="000000"/>
          </w:rPr>
          <w:t>Unit of Learning: Emotions, Feelings and Friends  PSHE Association Theme: Relationships  Year Group: 1/3/5</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2et92p0">
        <w:r w:rsidR="008D71C3">
          <w:rPr>
            <w:rFonts w:ascii="Arial" w:hAnsi="Arial"/>
            <w:color w:val="000000"/>
          </w:rPr>
          <w:t>Unit of Learning: Choices, Decisions and Democracy  PSHE Association Theme: Living in the Wider World  Year Group: 1/3/5</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tyjcwt">
        <w:r w:rsidR="008D71C3">
          <w:rPr>
            <w:rFonts w:ascii="Arial" w:hAnsi="Arial"/>
            <w:color w:val="000000"/>
          </w:rPr>
          <w:t>Unit of Learning:  Individuality, Independence and Assertiveness  PSHE Association Theme: Health and Well-Being  Year Group: 1/3/5</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3dy6vkm">
        <w:r w:rsidR="008D71C3">
          <w:rPr>
            <w:rFonts w:ascii="Arial" w:hAnsi="Arial"/>
            <w:color w:val="000000"/>
          </w:rPr>
          <w:t>Unit of Learning: Being Safe and Asking for Help  PSHE Association Theme: Relationships  Year Group: 1/3/5</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1t3h5sf">
        <w:r w:rsidR="008D71C3">
          <w:rPr>
            <w:rFonts w:ascii="Arial" w:hAnsi="Arial"/>
            <w:color w:val="000000"/>
          </w:rPr>
          <w:t>Unit of Learning: Growing Up, Staying Healthy and Making Ambitions  PSHE Association Theme: Health and Well-Being  Year Group: 1/3/5</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4d34og8">
        <w:r w:rsidR="008D71C3">
          <w:rPr>
            <w:rFonts w:ascii="Arial" w:hAnsi="Arial"/>
            <w:color w:val="000000"/>
          </w:rPr>
          <w:t>Unit of Learning: Citizenship, Responsibility and Leadership  PSHE Association Theme: Living in the Wider World  Year Group: 2/4/6</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2s8eyo1">
        <w:r w:rsidR="008D71C3">
          <w:rPr>
            <w:rFonts w:ascii="Arial" w:hAnsi="Arial"/>
            <w:color w:val="000000"/>
          </w:rPr>
          <w:t>Unit of Learning: Following the Law, Staying Safe and Overcoming Peer Pressure  PSHE Association Theme: Health and Well-Being  Year Group: 2/4/6</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17dp8vu">
        <w:r w:rsidR="008D71C3">
          <w:rPr>
            <w:rFonts w:ascii="Arial" w:hAnsi="Arial"/>
            <w:color w:val="000000"/>
          </w:rPr>
          <w:t>Unit of Learning: Earning, Saving and Spending  PSHE Association Theme: Living in the Wider World  Year Group: 2/4/6</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3rdcrjn">
        <w:r w:rsidR="008D71C3">
          <w:rPr>
            <w:rFonts w:ascii="Arial" w:hAnsi="Arial"/>
            <w:color w:val="000000"/>
          </w:rPr>
          <w:t>Unit of Learning: Trade, Food Growing and Fairness  PSHE Association Theme: Living in the Wider World  Year Group: 2/4/6</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26in1rg">
        <w:r w:rsidR="008D71C3">
          <w:rPr>
            <w:rFonts w:ascii="Arial" w:hAnsi="Arial"/>
            <w:color w:val="000000"/>
          </w:rPr>
          <w:t>Unit of Learning: Families, Friendships and Relationships  PSHE Association Theme: Relationship  Year Group: 2/4/6</w:t>
        </w:r>
        <w:r w:rsidR="008D71C3">
          <w:rPr>
            <w:rFonts w:ascii="Arial" w:hAnsi="Arial"/>
            <w:color w:val="000000"/>
          </w:rPr>
          <w:tab/>
        </w:r>
      </w:hyperlink>
    </w:p>
    <w:p w:rsidR="003A60F2" w:rsidRDefault="007673BD">
      <w:pPr>
        <w:pBdr>
          <w:top w:val="nil"/>
          <w:left w:val="nil"/>
          <w:bottom w:val="nil"/>
          <w:right w:val="nil"/>
          <w:between w:val="nil"/>
        </w:pBdr>
        <w:tabs>
          <w:tab w:val="right" w:pos="15388"/>
        </w:tabs>
        <w:spacing w:after="100"/>
        <w:ind w:left="220"/>
        <w:rPr>
          <w:rFonts w:ascii="Arial" w:hAnsi="Arial"/>
          <w:color w:val="000000"/>
        </w:rPr>
      </w:pPr>
      <w:hyperlink w:anchor="_heading=h.lnxbz9">
        <w:r w:rsidR="008D71C3">
          <w:rPr>
            <w:rFonts w:ascii="Arial" w:hAnsi="Arial"/>
            <w:color w:val="000000"/>
          </w:rPr>
          <w:t>Unit of Learning: Changes, Transitions and Maintaining Positivity  PSHE Association Theme: Health and Well-Being   Year Group: 2/4/6</w:t>
        </w:r>
        <w:r w:rsidR="008D71C3">
          <w:rPr>
            <w:rFonts w:ascii="Arial" w:hAnsi="Arial"/>
            <w:color w:val="000000"/>
          </w:rPr>
          <w:tab/>
        </w:r>
      </w:hyperlink>
    </w:p>
    <w:p w:rsidR="003A60F2" w:rsidRDefault="003A60F2">
      <w:pPr>
        <w:rPr>
          <w:i/>
        </w:rPr>
      </w:pPr>
      <w:bookmarkStart w:id="2" w:name="_heading=h.30j0zll" w:colFirst="0" w:colLast="0"/>
      <w:bookmarkEnd w:id="2"/>
    </w:p>
    <w:sectPr w:rsidR="003A60F2">
      <w:headerReference w:type="default" r:id="rId8"/>
      <w:headerReference w:type="first" r:id="rId9"/>
      <w:pgSz w:w="11906" w:h="16838"/>
      <w:pgMar w:top="720" w:right="720" w:bottom="720" w:left="72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3BD" w:rsidRDefault="007673BD">
      <w:pPr>
        <w:spacing w:after="0" w:line="240" w:lineRule="auto"/>
      </w:pPr>
      <w:r>
        <w:separator/>
      </w:r>
    </w:p>
  </w:endnote>
  <w:endnote w:type="continuationSeparator" w:id="0">
    <w:p w:rsidR="007673BD" w:rsidRDefault="0076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3BD" w:rsidRDefault="007673BD">
      <w:pPr>
        <w:spacing w:after="0" w:line="240" w:lineRule="auto"/>
      </w:pPr>
      <w:r>
        <w:separator/>
      </w:r>
    </w:p>
  </w:footnote>
  <w:footnote w:type="continuationSeparator" w:id="0">
    <w:p w:rsidR="007673BD" w:rsidRDefault="0076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F2" w:rsidRDefault="003A60F2">
    <w:pPr>
      <w:pBdr>
        <w:top w:val="nil"/>
        <w:left w:val="nil"/>
        <w:bottom w:val="nil"/>
        <w:right w:val="nil"/>
        <w:between w:val="nil"/>
      </w:pBdr>
      <w:tabs>
        <w:tab w:val="center" w:pos="4513"/>
        <w:tab w:val="right" w:pos="9026"/>
      </w:tabs>
      <w:spacing w:after="0" w:line="240" w:lineRule="auto"/>
      <w:rPr>
        <w:rFonts w:ascii="Arial" w:hAnsi="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F2" w:rsidRDefault="003A60F2">
    <w:pPr>
      <w:pBdr>
        <w:top w:val="nil"/>
        <w:left w:val="nil"/>
        <w:bottom w:val="nil"/>
        <w:right w:val="nil"/>
        <w:between w:val="nil"/>
      </w:pBdr>
      <w:tabs>
        <w:tab w:val="center" w:pos="4513"/>
        <w:tab w:val="right" w:pos="9026"/>
      </w:tabs>
      <w:spacing w:after="0" w:line="240" w:lineRule="auto"/>
      <w:rPr>
        <w:rFonts w:ascii="Arial" w:hAnsi="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C3E25"/>
    <w:multiLevelType w:val="multilevel"/>
    <w:tmpl w:val="A19C65C6"/>
    <w:lvl w:ilvl="0">
      <w:start w:val="1"/>
      <w:numFmt w:val="decimal"/>
      <w:pStyle w:val="check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F2"/>
    <w:rsid w:val="00130421"/>
    <w:rsid w:val="001D3576"/>
    <w:rsid w:val="00343793"/>
    <w:rsid w:val="003A60F2"/>
    <w:rsid w:val="004D4F56"/>
    <w:rsid w:val="007673BD"/>
    <w:rsid w:val="008D71C3"/>
    <w:rsid w:val="00EA2955"/>
    <w:rsid w:val="00F92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DA62"/>
  <w15:docId w15:val="{C82262CF-AA88-42AD-B103-699CE170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b/>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color w:val="00A4A7" w:themeColor="accent5"/>
      <w:spacing w:val="5"/>
      <w:sz w:val="48"/>
      <w:szCs w:val="36"/>
    </w:rPr>
  </w:style>
  <w:style w:type="paragraph" w:styleId="Heading2">
    <w:name w:val="heading 2"/>
    <w:basedOn w:val="Normal"/>
    <w:next w:val="Normal"/>
    <w:link w:val="Heading2Char"/>
    <w:uiPriority w:val="9"/>
    <w:semiHidden/>
    <w:unhideWhenUsed/>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semiHidden/>
    <w:unhideWhenUsed/>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escription"/>
    <w:basedOn w:val="Normal"/>
    <w:next w:val="Normal"/>
    <w:link w:val="TitleChar"/>
    <w:uiPriority w:val="10"/>
    <w:qFormat/>
    <w:rsid w:val="009801D0"/>
    <w:pPr>
      <w:spacing w:after="300" w:line="240" w:lineRule="auto"/>
      <w:contextualSpacing/>
    </w:pPr>
    <w:rPr>
      <w:smallCaps/>
      <w:sz w:val="52"/>
      <w:szCs w:val="52"/>
    </w:rPr>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qFormat/>
    <w:rPr>
      <w:i/>
      <w:smallCaps/>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table" w:styleId="TableGrid">
    <w:name w:val="Table Grid"/>
    <w:basedOn w:val="TableNormal"/>
    <w:uiPriority w:val="59"/>
    <w:rsid w:val="00425364"/>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C0911"/>
    <w:pPr>
      <w:spacing w:after="100"/>
    </w:pPr>
    <w:rPr>
      <w:rFonts w:eastAsiaTheme="minorHAnsi" w:cstheme="minorBidi"/>
      <w:lang w:val="en-GB"/>
    </w:rPr>
  </w:style>
  <w:style w:type="character" w:styleId="Hyperlink">
    <w:name w:val="Hyperlink"/>
    <w:basedOn w:val="DefaultParagraphFont"/>
    <w:uiPriority w:val="99"/>
    <w:unhideWhenUsed/>
    <w:rsid w:val="00FC0911"/>
    <w:rPr>
      <w:color w:val="009EE0" w:themeColor="hyperlink"/>
      <w:u w:val="single"/>
    </w:rPr>
  </w:style>
  <w:style w:type="paragraph" w:styleId="TOC2">
    <w:name w:val="toc 2"/>
    <w:basedOn w:val="Normal"/>
    <w:next w:val="Normal"/>
    <w:autoRedefine/>
    <w:uiPriority w:val="39"/>
    <w:unhideWhenUsed/>
    <w:rsid w:val="00FC0911"/>
    <w:pPr>
      <w:spacing w:after="100"/>
      <w:ind w:left="220"/>
    </w:pPr>
    <w:rPr>
      <w:rFonts w:eastAsiaTheme="minorHAnsi" w:cstheme="minorBidi"/>
      <w:lang w:val="en-GB"/>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FR9Pa/skMzOCNZ6sRh+TZMARA==">AMUW2mW5etJOz4Fkja/6GDKeZDgPrD9SBbueuuzXe2DYj314Y6AG1Sjc7B/DtNAeQFitv7tiFL3tEIy1WfjDxi8BcPFwKOthly26YVcgyV6t/h1n9rvlMKtjzFNNYAQrDaggP/n9wH6M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Kim Mason</cp:lastModifiedBy>
  <cp:revision>8</cp:revision>
  <dcterms:created xsi:type="dcterms:W3CDTF">2019-09-10T11:58:00Z</dcterms:created>
  <dcterms:modified xsi:type="dcterms:W3CDTF">2023-05-28T19:03:00Z</dcterms:modified>
</cp:coreProperties>
</file>